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3927.xml.htm"/>
      <w:bookmarkStart w:id="1" w:name="kswkform4_1786053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Sellers Jeanette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6770 PARKER FARM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nCino, Inc.</w:t>
              </w:r>
            </w:hyperlink>
            <w:r>
              <w:rPr/>
              <w:t xml:space="preserve"> [ </w:t>
            </w:r>
            <w:r>
              <w:rPr>
                <w:rFonts w:ascii="Times;serif" w:hAnsi="Times;serif"/>
                <w:color w:val="0000FF"/>
                <w:sz w:val="24"/>
                <w:shd w:fill="FFFFFF" w:val="clear"/>
              </w:rPr>
              <w:t>NCNO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Accounting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887</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19.218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1,536</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due upon vesting of RSUs. Such "sales to cover" are mandated by the Issuer's equity incentive plans to satisfy tax withholding obligations and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sales were effected pursuant to a Rule 10b5-1 trading plan adopted by the reporting person on September 16,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Sellers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499" TargetMode="External"/><Relationship Id="rId5" Type="http://schemas.openxmlformats.org/officeDocument/2006/relationships/hyperlink" Target="http://www.sec.gov/cgi-bin/browse-edgar?action=getcompany&amp;CIK=00019027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3426</Characters>
  <CharactersWithSpaces>3983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